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405</w:t>
      </w:r>
    </w:p>
    <w:p>
      <w:r>
        <w:t>Bundesgericht (BGE), 1980-12-19, DE</w:t>
      </w:r>
    </w:p>
    <w:p>
      <w:r>
        <w:rPr>
          <w:b/>
        </w:rPr>
        <w:t xml:space="preserve">Quelle: </w:t>
      </w:r>
      <w:r>
        <w:t>https://mcp.opencaselaw.ch/entscheid/bge_106 IV 405</w:t>
      </w:r>
    </w:p>
    <w:p>
      <w:r>
        <w:t>FR: ATF 106 IV 405</w:t>
      </w:r>
    </w:p>
    <w:p>
      <w:r>
        <w:t>IT: DTF 106 IV 405</w:t>
      </w:r>
    </w:p>
    <w:p>
      <w:pPr>
        <w:pStyle w:val="Heading2"/>
      </w:pPr>
      <w:r>
        <w:t>Regeste</w:t>
      </w:r>
    </w:p>
    <w:p>
      <w:r>
        <w:t>Regeste 1. Art. 63 Abs. 2 PVG; Art. 2 Abs. 5, 90, 103 Abs. 2 SVG; Art. 1 Abs. 2 VRV; Art. 104 Abs. 4 SSV. Parkierungsbeschränkungen im Parkraum der Schanzenpost in Bern. Art. 63 Abs. 2 PVG bildet keine gesetzliche Grundlage zur Regelung des fahrenden und ruhenden öffentlichen Verkehrs auf den diesem zugänglichen Arealen der PTT durch mündliche Anordnungen des Postpersonals oder durch amtliche Anschläge. Die PTT-Betriebe können den öffentlichen Verkehr auf solchen Arealen nur gemäss Art. 2 Abs. 5 SVG und Art. 104 Abs. 4 SSV durch die in der SSV vorgesehenen Signale und Markierungen regeln (E. 1-4). Die Missachtung dieser Signale und Markierungen kann nicht im Verwaltungsstrafverfahren geahndet werden (E. 5). 2. Art. 101 Abs. 2 VStrR. Das Gericht darf über die Entschädigung auch im Grundsatz erst befinden, nachdem es der Verwaltung Gelegenheit zur Stellungnahme gegeben hat (E. 6).</w:t>
      </w:r>
    </w:p>
    <w:p>
      <w:pPr>
        <w:pStyle w:val="Heading2"/>
      </w:pPr>
      <w:r>
        <w:t>Erwägungen</w:t>
      </w:r>
    </w:p>
    <w:p>
      <w:r>
        <w:rPr>
          <w:b/>
        </w:rPr>
        <w:t>E. 1</w:t>
      </w:r>
    </w:p>
    <w:p>
      <w:r>
        <w:t>Unbestritten ist, dass die Einstellhalle der Schanzenpost Bern den mit Motorfahrzeugen anfahrenden Postkunden und damit einem unbestimmbaren Personenkreis zur Verfügung steht. Es handelt sich somit um eine Verkehrsfläche, die dem allgemeinen Verkehr dient ( BGE 101 IV 175 , BGE 92 IV 11 , BGE 86 IV 31 ; siehe auch SCHULTZ, Die strafrechtliche Rechtsprechung zum Strassenverkehrsrecht 1968-1972, S. 66 betreffend Abstellgarage über dem Bahnhof Bern; 1973-1977, S. 70 betreffend Parkgarage Elisabethen in Basel; siehe auch BGE 100 IV 99 ; für das deutsche Recht: BULLERT, Gehören Parkhäuser zum öffentlichen Verkehrsraum? in DAR 1963 S. 325 ff.; JAGUSCH, Strassenverkehrsrecht, 25. Aufl., § 1 StVO 2 N. 14).</w:t>
      </w:r>
    </w:p>
    <w:p>
      <w:r>
        <w:rPr>
          <w:b/>
        </w:rPr>
        <w:t>E. 2</w:t>
      </w:r>
    </w:p>
    <w:p>
      <w:r>
        <w:t>Die Generaldirektion PTT stellt sich auf den Standpunkt, der als Anhang zum VStrR erlassene Art. 63 Abs. 2 PVG ermächtige die PTT klarerweise, Verhaltensnormen anzuordnen, damit die reibungslose Abwicklung des Postbetriebs gewährleistet sei. Diese Sondernorm, die keinen Vorbehalt zugunsten des SVG und seiner Nebenerlasse enthalte, gelte auch für Anordnungen betreffend das Parkieren in der fraglichen Einstellhalle. Demgegenüber vertritt die Vorinstanz die Auffassung, die Bestimmungen des SVG und der dazugehörigen Verordnungen "überlagerten" die Vorschriften des PVG, wenn es um die Regelung des fliessenden oder ruhenden Verkehrs in den dem allgemeinen Verkehr offenstehenden Räumlichkeiten der PTT-Betriebe gehe.</w:t>
      </w:r>
    </w:p>
    <w:p>
      <w:r>
        <w:rPr>
          <w:b/>
        </w:rPr>
        <w:t>E. 3</w:t>
      </w:r>
    </w:p>
    <w:p>
      <w:r>
        <w:t>Nach Art. 63 Abs. 2 PVG wird mit Busse bis zu Fr. 100.-- bestraft, wer auf Areal oder in Räumen oder Fahrzeugen, die dem Postbetrieb dienen, den mündlichen Anordnungen des Postpersonals oder amtlichen Anschlägen nicht Folge leistet. Wie die Beschwerdeführerin zutreffend bemerkt, BGE 106 IV 405 S. 409 ist diese Bestimmung im Anhang zum VStrR erlassen worden. Sie enthält in der Tat keinen ausdrücklichen Vorbehalt zugunsten der ordentlichen Strassenverkehrsordnung. Aber ebensowenig weist sie ausdrücklich darauf hin, dass der öffentliche Motorfahrzeugverkehr auf Arealen und in Räumen der PTT durch mündliche Anordnungen des Postpersonals oder durch amtliche Anschläge unter Ausschluss der spezifischen Vorschriften des SVG und seiner Nebenerlasse geregelt werden wollte. Die parlamentarischen Beratungen ergeben keine für die Auslegung der Bestimmung nützlichen Hinweise. Einzig im Motivenbericht zum Vorentwurf der Expertenkommission des EJPD vom 10. Juli 1963 findet sich eine kurze Erläuterung, indem zu Art. 63 vermerkt wird: "Die Ordnungswidrigkeiten (bisher Art. 61) werden vermehrt tatbestandsmässig umschrieben" (S. 85). Dass damit wesentliche Neuerungen hätten eingeführt werden wollen, wurde mit keinem Wort gesagt. Zieht man aber den Art. 61 des PVG vom 2. Oktober 1924 (BS 7 S. 772) heran, so wird klar, dass der heutige Art. 63 Abs. 2 PVG aus Art. 61 Abs. 2 zweiter Satz ("wer in Postwagen oder in Postschalterräumen den dienstlichen Anordnungen des Postpersonals zuwiderhandelt") hervorgegangen ist, der seinem Wortlaut und Sinne nach zweifellos nicht den öffentlichen Motorfahrzeugverkehr betraf. Diesen berücksichtigt das Postverkehrsgesetz einzig im unverändert geltenden Art. 3 Abs. 3, wonach der Bundesrat für den Verkehr auf Bergstrassen allgemein verbindliche Fahrordnungsvorschriften erlassen kann, die für die Sicherheit der Fahrten der Post und der konzessionierten Unternehmungen notwendig sind. Gestützt auf Art. 3 Abs. 3 PVG wurde - ausdrücklich in Ergänzung des Art. 62 MFV (dem der heute geltende Art. 45 SVG entspricht) - der Bundesratsbeschluss vom 10. April 1953 über den Wagenverkehr auf Bergpoststrassen (SR 741.124) erlassen. Dessen Art. 6, wonach Widerhandlungen gegen den Bundesratsbeschluss nach Art. 61 Abs. 2 PVG zu ahnden sind, wurde durch Art. 90 SVG abgelöst (s. auch Art. 107 Abs. 3 SVG ; s. die Fn. 1 zu Art. 6 des BRB), mit der Folge, dass die erwähnten Widerhandlungen nicht im Verwaltungsstrafverfahren, sondern im kantonalen Strafverfahren zu ahnden sind. Zudem enthalten auch Art. 38 Abs. 3 VRV sowie Art. 45 Abs. 2 und 111 Abs. 1 SSV Regeln betreffend die Bergpoststrassen. All dies weist darauf hin, dass der Gesetzgeber den den Postbetrieb BGE 106 IV 405 S. 410 berührenden Motorfahrzeugverkehr grundsätzlich der Ordnung des SVG und seiner Nebenerlasse hat unterstellen wollen. Hierfür sprechen überdies die im SVG und in der SSV enthaltenen besonderen Vorschriften über die Strassen und Grundstücke im Eigentum des Bundes: Nach Art. 2 Abs. 5 SVG bestimmen für Strassen im Eigentum des Bundes (worunter gemäss Art. 1 Abs. 1 VRV alle im Eigentum des Bundes stehenden, dem allgemeinen Verkehr offenstehenden Verkehrsflächen zu verstehen sind) die vom Bundesrat bezeichneten Bundesbehörden, ob und unter welchen Bedingungen der öffentliche Verkehr gestattet ist; sie stellen auch die erforderlichen Signale auf. In Ausführung dieser gesetzlichen Vorschrift wird in Art. 104 Abs. 4 SSV hervorgehoben, dass dem Bund die Signalisation auf seinen Strassen und Grundstücken Obliegt. Und weiter sieht Art. 111 Abs. 2 SSV vor, dass Verfügungen, durch die der öffentliche Verkehr auf Strassen und Grundstücken des Bundes beschränkt oder ausgeschlossen werden soll ( Art. 2 Abs. 5 SVG ), vom eidg. Departement, dem die mit der Verwaltung der Strasse und des Grundstückes betraute Amtsstelle oder Anstalt untersteht, getroffen werden. Die Generaldirektionen der SBB und der PTT-Betriebe werden ausdrücklich als für ihre Grundstücke zuständig erklärt. Sodann verlangt Art. 111 Abs. 3 SSV , dass solche Verfügungen im Bundesblatt unter Hinweis auf die Beschwerdemöglichkeit an den Bundesrat nach dem Verwaltungsverfahrensgesetz zu veröffentlichen seien. Es kann nicht zweifelhaft sein, dass die genannten Art. 2 Abs. 5 SVG und 104 Abs. 4 SSV unter dem Begriff der Signalisation grundsätzlich die Kennzeichnung mit den Signalen der SSV meinen ( Art. 1 Abs. 1 und Art. 2 SSV , welche letztere Bestimmung in Abs. 3 einzig einen Vorbehalt zugunsten des militärischen Strassenverkehrs enthält; siehe auch die zahlreichen publizierten Anwendungsverfügungen z.B. BBl 1971 I, 1 S. 133 ; 1971 I 2 S. 1294, 1980 II S. 263, 786). Allerdings sieht Art. 112 SSV für das Bahngebiet vor, dass Verkehrsverbote aufgrund der Gesetzgebung über die Bahnpolizei durch die in dieser Verordnung vorgesehenen Signale angezeigt werden "können", was besagt, dass die spezifisch bahnpolizeiliche Kennzeichnung die Regel und die Verwendung der Signale der SSV, über die sich die Bahnunternehmung mit der Behörde verständigt, fakultativ ist. Aus Art. 112 SSV liesse sich BGE 106 IV 405 S. 411 für den hier zu beurteilenden Fall indessen selbst dann nichts ableiten, wenn man diese das "Bahngebiet" (Marginale) betreffende Bestimmung analog auf Postgebiet anwenden wollte. Denn diese Bestimmung gestattet nicht die Verwendung von Zeichen, die in der SSV nicht vorgesehen sind, sondern sie erlaubt umgekehrt die Verwendung von Signalen der SSV in Fällen, in welchen nach den einschlägigen Erlassen grundsätzlich andere Zeichen verwendet werden.</w:t>
      </w:r>
    </w:p>
    <w:p>
      <w:r>
        <w:rPr>
          <w:b/>
        </w:rPr>
        <w:t>E. 4</w:t>
      </w:r>
    </w:p>
    <w:p>
      <w:r>
        <w:t>Art. 63 Abs. 2 PVG bildet nach dem Gesagten keine gesetzliche Grundlage zur Regelung des fahrenden und ruhenden öffentlichen Verkehrs auf den diesem zugänglichen Arealen der PTT durch mündliche Anordnungen des Postpersonals oder durch amtliche Anschläge. Die PTT-Betriebe können den öffentlichen Verkehr auf solchen Arealen nur gemäss Art. 2 Abs. 5 SVG und 104 Abs. 4 SSV durch die in der SSV vorgesehenen Signale, vor deren Anbringung das in der SSV vorgeschriebene Verfahren (vgl. insbes. Art. 111) einzuhalten ist, regeln. Da somit das Parkieren auf dem Parkplatz der Schanzenpost in Bern nicht mittels amtlicher Anschläge im Sinne von Art. 63 Abs. 2 PVG geregelt werden kann, hat sich der Beschwerdegegner, indem er diese Anschläge missachtete, nicht strafbar gemacht. Die Vorinstanz hat T. demnach zu Recht von der Anschuldigung der fahrlässigen Verletzung des Postverkehrsgesetzes freigesprochen. Die von der Generaldirektion PTT in der Nichtigkeitsbeschwerde dagegen erhobene Kritik ist unbegründet.</w:t>
      </w:r>
    </w:p>
    <w:p>
      <w:r>
        <w:rPr>
          <w:b/>
        </w:rPr>
        <w:t>E. 5</w:t>
      </w:r>
    </w:p>
    <w:p>
      <w:r>
        <w:t>Das Parkieren im Parkraum der Schanzenpost in Bern wird indessen, wie erwähnt, nicht nur durch amtliche Anschläge im Sinne von Art. 63 Abs. 2 PVG , sondern auch durch das Signal 4.17 ( Art. 48 Abs. 1 SSV ; Parkieren gestattet) und die Zusatztafel unten "Nur für Postkunden 15 Minuten" (so bei der Einfahrt) resp. durch das Signal 4.17 und die Zusatztafeln oben "Nur für Postkunden" und unten "15 Minuten" (so im Innern des Parkraums) geregelt. Der Gerichtspräsident VIII von Bern hat sich in seinen Urteilserwägungen auch mit dieser Signalisation auseinandergesetzt und hält dafür, dass T. sich an sie gehalten habe, da er Postkunde war und seinen Wagen 14 Minuten im Parkraum der Schanzenpost parkiert hatte. Die Rechtslage wäre nach Auffassung der Vorinstanz anders, wenn die Zusatztafeln im Sinne der SSV bestimmen würden, dass höchstens 15 Minuten BGE 106 IV 405 S. 412 und nur zur Erledigung von Postgeschäften und ausschliesslich während der Erledigung dieser Postgeschäfte parkiert werden dürfe; das sei aber nicht der Fall. Der Gerichtspräsident hat jedoch richtigerweise darauf verzichtet, T. im Urteilsdispositiv, das allein in Rechtskraft erwächst, auch vom Vorwurf der Verletzung von Verkehrsregeln ( Art. 27 und 90 SVG , Art. 63 Abs. 3 SSV ) freizusprechen. Darüber konnte im Verwaltungsstrafverfahren, in dessen Rahmen das angefochtene Urteil gefällt worden ist, nicht entschieden werden. Die Verfolgung von Widerhandlungen gegen die Strassenverkehrsgesetzgebung obliegt den Kantonen ( Art. 103 Abs. 2 SVG ); das Verfahren bestimmt sich - vorbehältlich des Ordnungsbussenverfahrens gemäss dem Bundesgesetz vom 24. Juni 1970 über Ordnungsbussen im Strassenverkehr (SR 741.03) - von Anfang an nach dem kantonalen Prozessrecht. Ein solches Verfahren wegen Widerhandlung gegen das SVG ist im vorliegenden Fall weder eingeleitet noch durchgeführt und abgeschlossen worden. Zudem könnte das Urteil des erstinstanzlichen Gerichts betreffend Widerhandlung gegen das SVG, auch wenn es nicht mit einem kantonalen Rechtsmittel wegen Verletzung eidgenössischen Rechts anfechtbar ist, nicht mit der eidgenössischen Nichtigkeitsbeschwerde angefochten werden (Art. 268 Ziff. 1 in fine BStP). Auf die Ausführungen der Beschwerdeführerin und des Beschwerdegegners zu Sinn und Bedeutung der Zusatztafeln "Nur für Postkunden", "15 Minuten" kann daher nicht eingetreten werden.</w:t>
      </w:r>
    </w:p>
    <w:p>
      <w:r>
        <w:rPr>
          <w:b/>
        </w:rPr>
        <w:t>E. 6</w:t>
      </w:r>
    </w:p>
    <w:p>
      <w:r>
        <w:t>Die Vorinstanz hat schliesslich entschieden: "Dem Angeschuldigten wird eine Entschädigung ausgerichtet, wobei der Generaldirektion PTT eine Frist von 10 Tagen gemäss Art. 101 Abs. 2 VStrR angesetzt wird." Die Beschwerdeführerin ficht diesen Urteilsspruch zu Recht als bundesrechtswidrig an. Gemäss Art. 101 Abs. 2 VStrR hat das Gericht, bevor es eine Entschädigung festsetzt, der beteiligten Verwaltung Gelegenheit zu gehen, sich zum Anspruch und seiner Höhe zu äussern und Antrag zu stellen. Im angefochtenen Entscheid hat jedoch die Vorinstanz über die grundsätzliche Begründetheit des Anspruchs bereits erkannt, ohne dass die Generaldirektion PTT hiezu angehört worden wäre. Das war unzulässig, denn nach der angeführten Bestimmung hatte die Beschwerdeführerin ein Recht darauf, bereits zum Grundsatz der Anspruchsberechtigung Stellung zu beziehen. Die Nichtigkeitsbeschwerde BGE 106 IV 405 S. 413 ist daher in diesem Punkt gutzuheissen und das angefochtene Urteil insoweit aufzuheben.</w:t>
      </w:r>
    </w:p>
    <w:p>
      <w:r>
        <w:rPr>
          <w:b/>
        </w:rPr>
        <w:t>E. 7</w:t>
      </w:r>
    </w:p>
    <w:p>
      <w:r>
        <w:t>Da die Generaldirektion PTT in bezug auf die Frage der Anwendung von Art. 63 Abs. 2 PVG , welche den Hauptpunkt ihrer Nichtigkeitsbeschwerde bildet, unterliegt, hat sie dem Beschwerdegegner für das Verfahren vor Bundesgericht eine Prozessentschädigung von Fr. 500.-- zu bezahlen ( Art. 83 Abs. 1 VStrR i.V.m. Art. 278 Abs. 3 BStP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